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D0" w:rsidRPr="00820FD5" w:rsidRDefault="00EB4BD0" w:rsidP="00EB4BD0">
      <w:pPr>
        <w:jc w:val="center"/>
        <w:rPr>
          <w:rFonts w:ascii="Tahoma" w:hAnsi="Tahoma" w:cs="Tahoma"/>
          <w:b/>
          <w:sz w:val="22"/>
          <w:szCs w:val="20"/>
          <w:lang w:val="en-US"/>
        </w:rPr>
      </w:pPr>
      <w:r w:rsidRPr="00820FD5">
        <w:rPr>
          <w:rFonts w:ascii="Tahoma" w:hAnsi="Tahoma" w:cs="Tahoma"/>
          <w:b/>
          <w:sz w:val="22"/>
          <w:szCs w:val="20"/>
          <w:lang w:val="en-US"/>
        </w:rPr>
        <w:t>LETTER OF COMMITMENT FOR ANTI-BRIBERY COMPLIANCE LAWS</w:t>
      </w:r>
    </w:p>
    <w:p w:rsidR="00E74A0D" w:rsidRPr="00820FD5" w:rsidRDefault="00E74A0D" w:rsidP="009E46E6">
      <w:pPr>
        <w:jc w:val="center"/>
        <w:rPr>
          <w:rFonts w:ascii="Tahoma" w:hAnsi="Tahoma" w:cs="Tahoma"/>
          <w:caps/>
          <w:noProof/>
          <w:sz w:val="20"/>
          <w:szCs w:val="18"/>
          <w:lang w:val="cs-CZ"/>
        </w:rPr>
      </w:pPr>
    </w:p>
    <w:p w:rsidR="009107FD" w:rsidRPr="00820FD5" w:rsidRDefault="00FB6926" w:rsidP="009E46E6">
      <w:pPr>
        <w:spacing w:line="276" w:lineRule="auto"/>
        <w:jc w:val="both"/>
        <w:rPr>
          <w:rFonts w:ascii="Tahoma" w:hAnsi="Tahoma" w:cs="Tahoma"/>
          <w:noProof/>
          <w:sz w:val="20"/>
          <w:szCs w:val="18"/>
          <w:lang w:val="cs-CZ"/>
        </w:rPr>
      </w:pPr>
      <w:r>
        <w:rPr>
          <w:rFonts w:ascii="Tahoma" w:hAnsi="Tahoma" w:cs="Tahoma"/>
          <w:noProof/>
          <w:sz w:val="20"/>
          <w:szCs w:val="18"/>
          <w:lang w:val="cs-CZ"/>
        </w:rPr>
        <w:t>I below stated S</w:t>
      </w:r>
      <w:r w:rsidR="00233754" w:rsidRPr="00FB6926">
        <w:rPr>
          <w:rFonts w:ascii="Tahoma" w:hAnsi="Tahoma" w:cs="Tahoma"/>
          <w:noProof/>
          <w:sz w:val="20"/>
          <w:szCs w:val="18"/>
          <w:lang w:val="cs-CZ"/>
        </w:rPr>
        <w:t>upplier</w:t>
      </w:r>
      <w:r w:rsidR="009107FD" w:rsidRPr="00FB6926">
        <w:rPr>
          <w:rFonts w:ascii="Tahoma" w:hAnsi="Tahoma" w:cs="Tahoma"/>
          <w:noProof/>
          <w:sz w:val="20"/>
          <w:szCs w:val="18"/>
          <w:lang w:val="cs-CZ"/>
        </w:rPr>
        <w:t>/</w:t>
      </w:r>
      <w:r>
        <w:rPr>
          <w:rFonts w:ascii="Tahoma" w:hAnsi="Tahoma" w:cs="Tahoma"/>
          <w:noProof/>
          <w:sz w:val="20"/>
          <w:szCs w:val="18"/>
          <w:lang w:val="cs-CZ"/>
        </w:rPr>
        <w:t>T</w:t>
      </w:r>
      <w:r w:rsidR="00233754" w:rsidRPr="00FB6926">
        <w:rPr>
          <w:rFonts w:ascii="Tahoma" w:hAnsi="Tahoma" w:cs="Tahoma"/>
          <w:noProof/>
          <w:sz w:val="20"/>
          <w:szCs w:val="18"/>
          <w:lang w:val="cs-CZ"/>
        </w:rPr>
        <w:t>he third party</w:t>
      </w:r>
      <w:r w:rsidR="009107FD" w:rsidRPr="00FB6926">
        <w:rPr>
          <w:rFonts w:ascii="Tahoma" w:hAnsi="Tahoma" w:cs="Tahoma"/>
          <w:noProof/>
          <w:sz w:val="20"/>
          <w:szCs w:val="18"/>
          <w:lang w:val="cs-CZ"/>
        </w:rPr>
        <w:t xml:space="preserve"> </w:t>
      </w:r>
      <w:r w:rsidR="00233754" w:rsidRPr="00FB6926">
        <w:rPr>
          <w:rFonts w:ascii="Tahoma" w:hAnsi="Tahoma" w:cs="Tahoma"/>
          <w:noProof/>
          <w:sz w:val="20"/>
          <w:szCs w:val="18"/>
          <w:lang w:val="cs-CZ"/>
        </w:rPr>
        <w:t>herby declare</w:t>
      </w:r>
      <w:r w:rsidR="009107FD" w:rsidRPr="00FB6926">
        <w:rPr>
          <w:rFonts w:ascii="Tahoma" w:hAnsi="Tahoma" w:cs="Tahoma"/>
          <w:noProof/>
          <w:sz w:val="20"/>
          <w:szCs w:val="18"/>
          <w:lang w:val="cs-CZ"/>
        </w:rPr>
        <w:t xml:space="preserve"> </w:t>
      </w:r>
      <w:r>
        <w:rPr>
          <w:rFonts w:ascii="Tahoma" w:hAnsi="Tahoma" w:cs="Tahoma"/>
          <w:noProof/>
          <w:sz w:val="20"/>
          <w:szCs w:val="18"/>
          <w:lang w:val="cs-CZ"/>
        </w:rPr>
        <w:t>that I understand below stated P</w:t>
      </w:r>
      <w:r w:rsidR="00233754" w:rsidRPr="00FB6926">
        <w:rPr>
          <w:rFonts w:ascii="Tahoma" w:hAnsi="Tahoma" w:cs="Tahoma"/>
          <w:noProof/>
          <w:sz w:val="20"/>
          <w:szCs w:val="18"/>
          <w:lang w:val="cs-CZ"/>
        </w:rPr>
        <w:t xml:space="preserve">olicy and I take into account that </w:t>
      </w:r>
      <w:r w:rsidR="009107FD" w:rsidRPr="00FB6926">
        <w:rPr>
          <w:rFonts w:ascii="Tahoma" w:hAnsi="Tahoma" w:cs="Tahoma"/>
          <w:noProof/>
          <w:sz w:val="20"/>
          <w:szCs w:val="18"/>
          <w:lang w:val="cs-CZ"/>
        </w:rPr>
        <w:t xml:space="preserve"> </w:t>
      </w:r>
      <w:r w:rsidR="00F64B58" w:rsidRPr="00FB6926">
        <w:rPr>
          <w:rFonts w:ascii="Tahoma" w:hAnsi="Tahoma" w:cs="Tahoma"/>
          <w:noProof/>
          <w:sz w:val="20"/>
          <w:szCs w:val="18"/>
          <w:lang w:val="cs-CZ"/>
        </w:rPr>
        <w:t xml:space="preserve">all its </w:t>
      </w:r>
      <w:r w:rsidRPr="00FB6926">
        <w:rPr>
          <w:rFonts w:ascii="Tahoma" w:hAnsi="Tahoma" w:cs="Tahoma"/>
          <w:noProof/>
          <w:sz w:val="20"/>
          <w:szCs w:val="18"/>
          <w:lang w:val="cs-CZ"/>
        </w:rPr>
        <w:t>terms</w:t>
      </w:r>
      <w:r w:rsidR="00F64B58" w:rsidRPr="00FB6926">
        <w:rPr>
          <w:rFonts w:ascii="Tahoma" w:hAnsi="Tahoma" w:cs="Tahoma"/>
          <w:noProof/>
          <w:sz w:val="20"/>
          <w:szCs w:val="18"/>
          <w:lang w:val="cs-CZ"/>
        </w:rPr>
        <w:t xml:space="preserve"> and conditions</w:t>
      </w:r>
      <w:r w:rsidR="009107FD" w:rsidRPr="00FB6926">
        <w:rPr>
          <w:rFonts w:ascii="Tahoma" w:hAnsi="Tahoma" w:cs="Tahoma"/>
          <w:noProof/>
          <w:sz w:val="20"/>
          <w:szCs w:val="18"/>
          <w:lang w:val="cs-CZ"/>
        </w:rPr>
        <w:t xml:space="preserve"> </w:t>
      </w:r>
      <w:r w:rsidR="00F64B58" w:rsidRPr="00FB6926">
        <w:rPr>
          <w:rFonts w:ascii="Tahoma" w:hAnsi="Tahoma" w:cs="Tahoma"/>
          <w:noProof/>
          <w:sz w:val="20"/>
          <w:szCs w:val="18"/>
          <w:lang w:val="cs-CZ"/>
        </w:rPr>
        <w:t>are for me</w:t>
      </w:r>
      <w:r>
        <w:rPr>
          <w:rFonts w:ascii="Tahoma" w:hAnsi="Tahoma" w:cs="Tahoma"/>
          <w:noProof/>
          <w:sz w:val="20"/>
          <w:szCs w:val="18"/>
          <w:lang w:val="cs-CZ"/>
        </w:rPr>
        <w:t>,</w:t>
      </w:r>
      <w:r w:rsidR="00F64B58" w:rsidRPr="00FB6926">
        <w:rPr>
          <w:rFonts w:ascii="Tahoma" w:hAnsi="Tahoma" w:cs="Tahoma"/>
          <w:noProof/>
          <w:sz w:val="20"/>
          <w:szCs w:val="18"/>
          <w:lang w:val="cs-CZ"/>
        </w:rPr>
        <w:t xml:space="preserve"> as</w:t>
      </w:r>
      <w:r w:rsidR="009107FD" w:rsidRPr="00FB6926">
        <w:rPr>
          <w:rFonts w:ascii="Tahoma" w:hAnsi="Tahoma" w:cs="Tahoma"/>
          <w:noProof/>
          <w:sz w:val="20"/>
          <w:szCs w:val="18"/>
          <w:lang w:val="cs-CZ"/>
        </w:rPr>
        <w:t xml:space="preserve"> CEMEX </w:t>
      </w:r>
      <w:r w:rsidRPr="00FB6926">
        <w:rPr>
          <w:rFonts w:ascii="Tahoma" w:hAnsi="Tahoma" w:cs="Tahoma"/>
          <w:noProof/>
          <w:sz w:val="20"/>
          <w:szCs w:val="18"/>
          <w:lang w:val="cs-CZ"/>
        </w:rPr>
        <w:t>Agent</w:t>
      </w:r>
      <w:r>
        <w:rPr>
          <w:rFonts w:ascii="Tahoma" w:hAnsi="Tahoma" w:cs="Tahoma"/>
          <w:noProof/>
          <w:sz w:val="20"/>
          <w:szCs w:val="18"/>
          <w:lang w:val="cs-CZ"/>
        </w:rPr>
        <w:t>,</w:t>
      </w:r>
      <w:r w:rsidRPr="00FB6926">
        <w:rPr>
          <w:rFonts w:ascii="Tahoma" w:hAnsi="Tahoma" w:cs="Tahoma"/>
          <w:noProof/>
          <w:sz w:val="20"/>
          <w:szCs w:val="18"/>
          <w:lang w:val="cs-CZ"/>
        </w:rPr>
        <w:t xml:space="preserve"> binding</w:t>
      </w:r>
      <w:r w:rsidR="009107FD" w:rsidRPr="00FB6926">
        <w:rPr>
          <w:rFonts w:ascii="Tahoma" w:hAnsi="Tahoma" w:cs="Tahoma"/>
          <w:noProof/>
          <w:sz w:val="20"/>
          <w:szCs w:val="18"/>
          <w:lang w:val="cs-CZ"/>
        </w:rPr>
        <w:t xml:space="preserve">. </w:t>
      </w:r>
      <w:r w:rsidRPr="00FB6926">
        <w:rPr>
          <w:rFonts w:ascii="Tahoma" w:hAnsi="Tahoma" w:cs="Tahoma"/>
          <w:noProof/>
          <w:sz w:val="20"/>
          <w:szCs w:val="18"/>
          <w:lang w:val="cs-CZ"/>
        </w:rPr>
        <w:t>Moreover, I confirm that I shall ensure ful</w:t>
      </w:r>
      <w:r>
        <w:rPr>
          <w:rFonts w:ascii="Tahoma" w:hAnsi="Tahoma" w:cs="Tahoma"/>
          <w:noProof/>
          <w:sz w:val="20"/>
          <w:szCs w:val="18"/>
          <w:lang w:val="cs-CZ"/>
        </w:rPr>
        <w:t>l compliance with below stated P</w:t>
      </w:r>
      <w:r w:rsidRPr="00FB6926">
        <w:rPr>
          <w:rFonts w:ascii="Tahoma" w:hAnsi="Tahoma" w:cs="Tahoma"/>
          <w:noProof/>
          <w:sz w:val="20"/>
          <w:szCs w:val="18"/>
          <w:lang w:val="cs-CZ"/>
        </w:rPr>
        <w:t>olicy</w:t>
      </w:r>
      <w:r w:rsidR="009107FD" w:rsidRPr="00FB6926">
        <w:rPr>
          <w:rFonts w:ascii="Tahoma" w:hAnsi="Tahoma" w:cs="Tahoma"/>
          <w:noProof/>
          <w:sz w:val="20"/>
          <w:szCs w:val="18"/>
          <w:lang w:val="cs-CZ"/>
        </w:rPr>
        <w:t xml:space="preserve"> </w:t>
      </w:r>
      <w:r w:rsidRPr="00FB6926">
        <w:rPr>
          <w:rFonts w:ascii="Tahoma" w:hAnsi="Tahoma" w:cs="Tahoma"/>
          <w:noProof/>
          <w:sz w:val="20"/>
          <w:szCs w:val="18"/>
          <w:lang w:val="cs-CZ"/>
        </w:rPr>
        <w:t>and there is no conflict of interest in this respect.</w:t>
      </w:r>
      <w:r w:rsidR="009107FD" w:rsidRPr="00820FD5">
        <w:rPr>
          <w:rFonts w:ascii="Tahoma" w:hAnsi="Tahoma" w:cs="Tahoma"/>
          <w:noProof/>
          <w:sz w:val="20"/>
          <w:szCs w:val="18"/>
          <w:lang w:val="cs-CZ"/>
        </w:rPr>
        <w:t xml:space="preserve"> </w:t>
      </w:r>
    </w:p>
    <w:p w:rsidR="009E46E6" w:rsidRPr="00820FD5" w:rsidRDefault="009E46E6" w:rsidP="009E46E6">
      <w:pPr>
        <w:spacing w:line="276" w:lineRule="auto"/>
        <w:jc w:val="both"/>
        <w:rPr>
          <w:rFonts w:ascii="Tahoma" w:hAnsi="Tahoma" w:cs="Tahoma"/>
          <w:noProof/>
          <w:sz w:val="20"/>
          <w:szCs w:val="18"/>
          <w:lang w:val="cs-CZ"/>
        </w:rPr>
      </w:pPr>
    </w:p>
    <w:tbl>
      <w:tblPr>
        <w:tblStyle w:val="Mkatabulky"/>
        <w:tblW w:w="0" w:type="auto"/>
        <w:tblLook w:val="04A0"/>
      </w:tblPr>
      <w:tblGrid>
        <w:gridCol w:w="3227"/>
        <w:gridCol w:w="7124"/>
      </w:tblGrid>
      <w:tr w:rsidR="009E46E6" w:rsidRPr="00820FD5" w:rsidTr="00EB4BD0">
        <w:trPr>
          <w:trHeight w:val="352"/>
        </w:trPr>
        <w:tc>
          <w:tcPr>
            <w:tcW w:w="3227" w:type="dxa"/>
          </w:tcPr>
          <w:p w:rsidR="009E46E6" w:rsidRPr="00820FD5" w:rsidRDefault="00EB4BD0" w:rsidP="00EB4BD0">
            <w:pPr>
              <w:spacing w:line="276" w:lineRule="auto"/>
              <w:rPr>
                <w:rFonts w:ascii="Tahoma" w:hAnsi="Tahoma" w:cs="Tahoma"/>
                <w:noProof/>
                <w:szCs w:val="18"/>
                <w:lang w:val="cs-CZ"/>
              </w:rPr>
            </w:pPr>
            <w:r w:rsidRPr="00820FD5">
              <w:rPr>
                <w:rFonts w:ascii="Tahoma" w:hAnsi="Tahoma" w:cs="Tahoma"/>
                <w:szCs w:val="18"/>
                <w:lang w:val="en-US"/>
              </w:rPr>
              <w:t>Supplier/third party vendor´s name:</w:t>
            </w:r>
          </w:p>
        </w:tc>
        <w:tc>
          <w:tcPr>
            <w:tcW w:w="7124" w:type="dxa"/>
          </w:tcPr>
          <w:p w:rsidR="009E46E6" w:rsidRPr="00820FD5" w:rsidRDefault="009E46E6" w:rsidP="009E46E6">
            <w:pPr>
              <w:spacing w:line="276" w:lineRule="auto"/>
              <w:jc w:val="both"/>
              <w:rPr>
                <w:rFonts w:ascii="Tahoma" w:hAnsi="Tahoma" w:cs="Tahoma"/>
                <w:noProof/>
                <w:szCs w:val="18"/>
                <w:lang w:val="cs-CZ"/>
              </w:rPr>
            </w:pPr>
          </w:p>
        </w:tc>
      </w:tr>
      <w:tr w:rsidR="009E46E6" w:rsidRPr="00820FD5" w:rsidTr="00EB4BD0">
        <w:trPr>
          <w:trHeight w:val="365"/>
        </w:trPr>
        <w:tc>
          <w:tcPr>
            <w:tcW w:w="3227" w:type="dxa"/>
          </w:tcPr>
          <w:p w:rsidR="009E46E6" w:rsidRPr="00820FD5" w:rsidRDefault="00EB4BD0" w:rsidP="009E46E6">
            <w:pPr>
              <w:spacing w:line="276" w:lineRule="auto"/>
              <w:jc w:val="both"/>
              <w:rPr>
                <w:rFonts w:ascii="Tahoma" w:hAnsi="Tahoma" w:cs="Tahoma"/>
                <w:noProof/>
                <w:szCs w:val="18"/>
                <w:lang w:val="cs-CZ"/>
              </w:rPr>
            </w:pPr>
            <w:r w:rsidRPr="00820FD5">
              <w:rPr>
                <w:rFonts w:ascii="Tahoma" w:hAnsi="Tahoma" w:cs="Tahoma"/>
                <w:noProof/>
                <w:szCs w:val="18"/>
                <w:lang w:val="cs-CZ"/>
              </w:rPr>
              <w:t>Adress</w:t>
            </w:r>
            <w:r w:rsidR="009E46E6" w:rsidRPr="00820FD5">
              <w:rPr>
                <w:rFonts w:ascii="Tahoma" w:hAnsi="Tahoma" w:cs="Tahoma"/>
                <w:noProof/>
                <w:szCs w:val="18"/>
                <w:lang w:val="cs-CZ"/>
              </w:rPr>
              <w:t>:</w:t>
            </w:r>
          </w:p>
        </w:tc>
        <w:tc>
          <w:tcPr>
            <w:tcW w:w="7124" w:type="dxa"/>
          </w:tcPr>
          <w:p w:rsidR="009E46E6" w:rsidRPr="00820FD5" w:rsidRDefault="009E46E6" w:rsidP="009E46E6">
            <w:pPr>
              <w:spacing w:line="276" w:lineRule="auto"/>
              <w:jc w:val="both"/>
              <w:rPr>
                <w:rFonts w:ascii="Tahoma" w:hAnsi="Tahoma" w:cs="Tahoma"/>
                <w:noProof/>
                <w:szCs w:val="18"/>
                <w:lang w:val="cs-CZ"/>
              </w:rPr>
            </w:pPr>
          </w:p>
        </w:tc>
      </w:tr>
      <w:tr w:rsidR="009E46E6" w:rsidRPr="00820FD5" w:rsidTr="00EB4BD0">
        <w:trPr>
          <w:trHeight w:val="365"/>
        </w:trPr>
        <w:tc>
          <w:tcPr>
            <w:tcW w:w="3227" w:type="dxa"/>
          </w:tcPr>
          <w:p w:rsidR="009E46E6" w:rsidRPr="00820FD5" w:rsidRDefault="009E46E6" w:rsidP="00EB4BD0">
            <w:pPr>
              <w:spacing w:line="276" w:lineRule="auto"/>
              <w:jc w:val="both"/>
              <w:rPr>
                <w:rFonts w:ascii="Tahoma" w:hAnsi="Tahoma" w:cs="Tahoma"/>
                <w:noProof/>
                <w:szCs w:val="18"/>
                <w:lang w:val="cs-CZ"/>
              </w:rPr>
            </w:pPr>
            <w:r w:rsidRPr="00820FD5">
              <w:rPr>
                <w:rFonts w:ascii="Tahoma" w:hAnsi="Tahoma" w:cs="Tahoma"/>
                <w:noProof/>
                <w:szCs w:val="18"/>
                <w:lang w:val="cs-CZ"/>
              </w:rPr>
              <w:t>I</w:t>
            </w:r>
            <w:r w:rsidR="00EB4BD0" w:rsidRPr="00820FD5">
              <w:rPr>
                <w:rFonts w:ascii="Tahoma" w:hAnsi="Tahoma" w:cs="Tahoma"/>
                <w:noProof/>
                <w:szCs w:val="18"/>
                <w:lang w:val="cs-CZ"/>
              </w:rPr>
              <w:t>D NO</w:t>
            </w:r>
            <w:r w:rsidR="00AE0ED5" w:rsidRPr="00820FD5">
              <w:rPr>
                <w:rFonts w:ascii="Tahoma" w:hAnsi="Tahoma" w:cs="Tahoma"/>
                <w:noProof/>
                <w:szCs w:val="18"/>
                <w:lang w:val="cs-CZ"/>
              </w:rPr>
              <w:t>:</w:t>
            </w:r>
          </w:p>
        </w:tc>
        <w:tc>
          <w:tcPr>
            <w:tcW w:w="7124" w:type="dxa"/>
          </w:tcPr>
          <w:p w:rsidR="009E46E6" w:rsidRPr="00820FD5" w:rsidRDefault="009E46E6" w:rsidP="009E46E6">
            <w:pPr>
              <w:spacing w:line="276" w:lineRule="auto"/>
              <w:jc w:val="both"/>
              <w:rPr>
                <w:rFonts w:ascii="Tahoma" w:hAnsi="Tahoma" w:cs="Tahoma"/>
                <w:noProof/>
                <w:szCs w:val="18"/>
                <w:lang w:val="cs-CZ"/>
              </w:rPr>
            </w:pPr>
          </w:p>
        </w:tc>
      </w:tr>
    </w:tbl>
    <w:p w:rsidR="009E46E6" w:rsidRPr="00820FD5" w:rsidRDefault="009E46E6" w:rsidP="009E46E6">
      <w:pPr>
        <w:spacing w:line="276" w:lineRule="auto"/>
        <w:jc w:val="both"/>
        <w:rPr>
          <w:rFonts w:ascii="Tahoma" w:hAnsi="Tahoma" w:cs="Tahoma"/>
          <w:noProof/>
          <w:sz w:val="22"/>
          <w:szCs w:val="18"/>
          <w:lang w:val="cs-CZ"/>
        </w:rPr>
      </w:pPr>
    </w:p>
    <w:p w:rsidR="009107FD" w:rsidRPr="00820FD5" w:rsidRDefault="00EB4BD0" w:rsidP="009E46E6">
      <w:pPr>
        <w:spacing w:line="276" w:lineRule="auto"/>
        <w:jc w:val="center"/>
        <w:rPr>
          <w:rFonts w:ascii="Tahoma" w:hAnsi="Tahoma" w:cs="Tahoma"/>
          <w:noProof/>
          <w:sz w:val="20"/>
          <w:szCs w:val="18"/>
          <w:lang w:val="cs-CZ"/>
        </w:rPr>
      </w:pPr>
      <w:r w:rsidRPr="00820FD5">
        <w:rPr>
          <w:rFonts w:ascii="Tahoma" w:hAnsi="Tahoma" w:cs="Tahoma"/>
          <w:b/>
          <w:caps/>
          <w:noProof/>
          <w:sz w:val="20"/>
          <w:szCs w:val="18"/>
          <w:u w:val="single"/>
          <w:lang w:val="cs-CZ"/>
        </w:rPr>
        <w:t>ANTI BRIBERY poliCY</w:t>
      </w: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I.  CEMEX, S.A.B. de C.V. (with its subsidiaries, the “CEMEX”) is deeply committed to compliance with all laws and regulations governing its global operations, including the United States Foreign Corrupt Practices Act (“FCPA”), the Foreign Corrupt Practices Act UK Bribery Act 2010 (“UK Bribery Act 2010”), the Organization for Economic Cooperation and Development Convention on Combating Bribery of Foreign Public Officials (“OECD Convention”) and all other anti-bribery and anti-corruption laws (collectively “anti-bribery laws”). Accordingly, all CEMEX employees, agents, representatives, suppliers, distributors, consultants, joint venture partners, and anyone else doing business for CEMEX or in CEMEX´s name, regardless of nationality or where employed (“CEMEX agents”), are required to comply fully with FCPA, UK Bribery Act 2010, the OECD Convention and all other applicable anti-bribery laws.</w:t>
      </w:r>
    </w:p>
    <w:p w:rsidR="00EB4BD0" w:rsidRPr="00820FD5" w:rsidRDefault="00EB4BD0" w:rsidP="00EB4BD0">
      <w:pPr>
        <w:jc w:val="both"/>
        <w:rPr>
          <w:rFonts w:ascii="Tahoma" w:hAnsi="Tahoma" w:cs="Tahoma"/>
          <w:sz w:val="16"/>
          <w:szCs w:val="18"/>
          <w:lang w:val="en-US"/>
        </w:rPr>
      </w:pP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 xml:space="preserve">In compliance with the anti-bribery laws, no CEMEX agent shall provide or promise to provide, directly or indirectly, any payment or anything else of value </w:t>
      </w:r>
      <w:r w:rsidRPr="00820FD5">
        <w:rPr>
          <w:rFonts w:ascii="Tahoma" w:hAnsi="Tahoma" w:cs="Tahoma"/>
          <w:sz w:val="16"/>
          <w:szCs w:val="18"/>
          <w:vertAlign w:val="superscript"/>
          <w:lang w:val="en-US"/>
        </w:rPr>
        <w:t>(1)</w:t>
      </w:r>
      <w:r w:rsidRPr="00820FD5">
        <w:rPr>
          <w:rFonts w:ascii="Tahoma" w:hAnsi="Tahoma" w:cs="Tahoma"/>
          <w:sz w:val="16"/>
          <w:szCs w:val="18"/>
          <w:lang w:val="en-US"/>
        </w:rPr>
        <w:t xml:space="preserve"> to any government official, political party official, political party candidate for political office, any party with whom a commercial relationship is in place, in order to obtain or retain business, to secure business for a party involved with CEMEX, or to secure an illegal commercial advantage for CEMEX.</w:t>
      </w:r>
    </w:p>
    <w:p w:rsidR="00EB4BD0" w:rsidRPr="00820FD5" w:rsidRDefault="00EB4BD0" w:rsidP="00EB4BD0">
      <w:pPr>
        <w:jc w:val="both"/>
        <w:rPr>
          <w:rFonts w:ascii="Tahoma" w:hAnsi="Tahoma" w:cs="Tahoma"/>
          <w:sz w:val="16"/>
          <w:szCs w:val="18"/>
          <w:lang w:val="en-US"/>
        </w:rPr>
      </w:pP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 xml:space="preserve">CEMEX operations often require contact with government authorities while acting in their official role. The former is permissible under anti-bribery laws; however, to offer or provide undue payment or anything else of value to government officials to obtain or retain business is sanctioned by law and is strictly prohibited by CEMEX. Accordingly any payment that CEMEX agents provide to government officials must be carefully reviewed in advance of actual payment and shall not be made unless they are clearly permissible and approved by CEMEX´s General Counsel. </w:t>
      </w:r>
    </w:p>
    <w:p w:rsidR="00EB4BD0" w:rsidRPr="00820FD5" w:rsidRDefault="00EB4BD0" w:rsidP="00EB4BD0">
      <w:pPr>
        <w:jc w:val="both"/>
        <w:rPr>
          <w:rFonts w:ascii="Tahoma" w:hAnsi="Tahoma" w:cs="Tahoma"/>
          <w:sz w:val="16"/>
          <w:szCs w:val="18"/>
        </w:rPr>
      </w:pP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Moreover, CEMEX prohibits the tampering of books and records to inaccurately report the company´s financial information and requires compliance with the anti-bribery laws whose purpose is to sanction bribes, illicit payments and fraudulent activities. CEMEX therefore prohibits CEMEX agents from disguising the true nature of payments such that these payments are recorded inaccurately in CEMEX books and records.</w:t>
      </w:r>
    </w:p>
    <w:p w:rsidR="00EB4BD0" w:rsidRPr="00820FD5" w:rsidRDefault="00EB4BD0" w:rsidP="00EB4BD0">
      <w:pPr>
        <w:jc w:val="both"/>
        <w:rPr>
          <w:rFonts w:ascii="Tahoma" w:hAnsi="Tahoma" w:cs="Tahoma"/>
          <w:sz w:val="16"/>
          <w:szCs w:val="18"/>
          <w:lang w:val="en-US"/>
        </w:rPr>
      </w:pP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Because CEMEX operates in many different jurisdictions this Policy is only a snapshot of the requirements applicable to CEMEX agents in regards to anti-bribery regulations. It is possible that anti-bribery laws applicable for respective countries contain elements that are not mentioned herein that may impose greater requirements than those stipulated above. CEMEX agents are responsible under all legislation, especially local legislation that could apply to them. Compliance with these laws is expected from all CEMEX agents.</w:t>
      </w:r>
    </w:p>
    <w:p w:rsidR="00EB4BD0" w:rsidRPr="00820FD5" w:rsidRDefault="00EB4BD0" w:rsidP="00EB4BD0">
      <w:pPr>
        <w:jc w:val="both"/>
        <w:rPr>
          <w:rFonts w:ascii="Tahoma" w:hAnsi="Tahoma" w:cs="Tahoma"/>
          <w:sz w:val="16"/>
          <w:szCs w:val="18"/>
          <w:lang w:val="en-US"/>
        </w:rPr>
      </w:pPr>
    </w:p>
    <w:p w:rsidR="00EB4BD0" w:rsidRPr="00820FD5" w:rsidRDefault="00EB4BD0" w:rsidP="00EB4BD0">
      <w:pPr>
        <w:jc w:val="both"/>
        <w:rPr>
          <w:rFonts w:ascii="Tahoma" w:hAnsi="Tahoma" w:cs="Tahoma"/>
          <w:sz w:val="16"/>
          <w:szCs w:val="18"/>
          <w:lang w:val="en-US"/>
        </w:rPr>
      </w:pPr>
      <w:r w:rsidRPr="00820FD5">
        <w:rPr>
          <w:rFonts w:ascii="Tahoma" w:hAnsi="Tahoma" w:cs="Tahoma"/>
          <w:sz w:val="16"/>
          <w:szCs w:val="18"/>
          <w:lang w:val="en-US"/>
        </w:rPr>
        <w:t xml:space="preserve">By signing this Policy we are recognizing that we have understood the terms and conditions established herein, as well as recognizing that these terms and conditions are compulsory to us as a CEMEX agent. Consequently, we confirm that we are in compliance with all the above and </w:t>
      </w:r>
      <w:proofErr w:type="gramStart"/>
      <w:r w:rsidRPr="00820FD5">
        <w:rPr>
          <w:rFonts w:ascii="Tahoma" w:hAnsi="Tahoma" w:cs="Tahoma"/>
          <w:sz w:val="16"/>
          <w:szCs w:val="18"/>
          <w:lang w:val="en-US"/>
        </w:rPr>
        <w:t>that</w:t>
      </w:r>
      <w:proofErr w:type="gramEnd"/>
      <w:r w:rsidRPr="00820FD5">
        <w:rPr>
          <w:rFonts w:ascii="Tahoma" w:hAnsi="Tahoma" w:cs="Tahoma"/>
          <w:sz w:val="16"/>
          <w:szCs w:val="18"/>
          <w:lang w:val="en-US"/>
        </w:rPr>
        <w:t xml:space="preserve"> we do not have any conflict of interest in this regard.</w:t>
      </w:r>
    </w:p>
    <w:p w:rsidR="00EB4BD0" w:rsidRPr="00820FD5" w:rsidRDefault="00EB4BD0" w:rsidP="00EB4BD0">
      <w:pPr>
        <w:jc w:val="both"/>
        <w:rPr>
          <w:rFonts w:ascii="Tahoma" w:hAnsi="Tahoma" w:cs="Tahoma"/>
          <w:sz w:val="16"/>
          <w:szCs w:val="18"/>
          <w:lang w:val="en-US"/>
        </w:rPr>
      </w:pPr>
    </w:p>
    <w:tbl>
      <w:tblPr>
        <w:tblStyle w:val="Mkatabulky"/>
        <w:tblW w:w="0" w:type="auto"/>
        <w:tblLook w:val="04A0"/>
      </w:tblPr>
      <w:tblGrid>
        <w:gridCol w:w="4361"/>
        <w:gridCol w:w="5967"/>
      </w:tblGrid>
      <w:tr w:rsidR="009E46E6" w:rsidRPr="00820FD5" w:rsidTr="00EB4BD0">
        <w:trPr>
          <w:trHeight w:val="285"/>
        </w:trPr>
        <w:tc>
          <w:tcPr>
            <w:tcW w:w="4361" w:type="dxa"/>
          </w:tcPr>
          <w:p w:rsidR="000D144B" w:rsidRPr="00820FD5" w:rsidRDefault="00EB4BD0" w:rsidP="009E46E6">
            <w:pPr>
              <w:spacing w:line="276" w:lineRule="auto"/>
              <w:jc w:val="both"/>
              <w:rPr>
                <w:rFonts w:ascii="Tahoma" w:hAnsi="Tahoma" w:cs="Tahoma"/>
                <w:noProof/>
                <w:szCs w:val="18"/>
                <w:lang w:val="cs-CZ"/>
              </w:rPr>
            </w:pPr>
            <w:r w:rsidRPr="00820FD5">
              <w:rPr>
                <w:rFonts w:ascii="Tahoma" w:hAnsi="Tahoma" w:cs="Tahoma"/>
                <w:szCs w:val="18"/>
                <w:lang w:val="en-US"/>
              </w:rPr>
              <w:t>Place and Date</w:t>
            </w:r>
            <w:r w:rsidR="009E46E6" w:rsidRPr="00820FD5">
              <w:rPr>
                <w:rFonts w:ascii="Tahoma" w:hAnsi="Tahoma" w:cs="Tahoma"/>
                <w:noProof/>
                <w:szCs w:val="18"/>
                <w:lang w:val="cs-CZ"/>
              </w:rPr>
              <w:t>:</w:t>
            </w:r>
          </w:p>
        </w:tc>
        <w:tc>
          <w:tcPr>
            <w:tcW w:w="5967" w:type="dxa"/>
          </w:tcPr>
          <w:p w:rsidR="009E46E6" w:rsidRPr="00820FD5" w:rsidRDefault="009E46E6" w:rsidP="009E46E6">
            <w:pPr>
              <w:spacing w:line="276" w:lineRule="auto"/>
              <w:jc w:val="both"/>
              <w:rPr>
                <w:rFonts w:ascii="Tahoma" w:hAnsi="Tahoma" w:cs="Tahoma"/>
                <w:noProof/>
                <w:szCs w:val="18"/>
                <w:lang w:val="cs-CZ"/>
              </w:rPr>
            </w:pPr>
          </w:p>
        </w:tc>
      </w:tr>
      <w:tr w:rsidR="009E46E6" w:rsidRPr="00820FD5" w:rsidTr="00EB4BD0">
        <w:trPr>
          <w:trHeight w:val="774"/>
        </w:trPr>
        <w:tc>
          <w:tcPr>
            <w:tcW w:w="4361" w:type="dxa"/>
          </w:tcPr>
          <w:p w:rsidR="00EB4BD0" w:rsidRPr="00820FD5" w:rsidRDefault="00EB4BD0" w:rsidP="00EB4BD0">
            <w:pPr>
              <w:rPr>
                <w:rFonts w:ascii="Tahoma" w:hAnsi="Tahoma" w:cs="Tahoma"/>
                <w:szCs w:val="18"/>
                <w:lang w:val="en-US"/>
              </w:rPr>
            </w:pPr>
            <w:r w:rsidRPr="00820FD5">
              <w:rPr>
                <w:rFonts w:ascii="Tahoma" w:hAnsi="Tahoma" w:cs="Tahoma"/>
                <w:szCs w:val="18"/>
                <w:lang w:val="en-US"/>
              </w:rPr>
              <w:t>Name, title/position of the supplier´s or third party vendor´s authorized representative/s:</w:t>
            </w:r>
          </w:p>
          <w:p w:rsidR="009E46E6" w:rsidRPr="00820FD5" w:rsidRDefault="009E46E6" w:rsidP="000D144B">
            <w:pPr>
              <w:spacing w:line="276" w:lineRule="auto"/>
              <w:rPr>
                <w:rFonts w:ascii="Tahoma" w:hAnsi="Tahoma" w:cs="Tahoma"/>
                <w:noProof/>
                <w:szCs w:val="18"/>
                <w:lang w:val="cs-CZ"/>
              </w:rPr>
            </w:pPr>
          </w:p>
        </w:tc>
        <w:tc>
          <w:tcPr>
            <w:tcW w:w="5967" w:type="dxa"/>
          </w:tcPr>
          <w:p w:rsidR="009E46E6" w:rsidRPr="00820FD5" w:rsidRDefault="009E46E6" w:rsidP="009E46E6">
            <w:pPr>
              <w:spacing w:line="276" w:lineRule="auto"/>
              <w:jc w:val="both"/>
              <w:rPr>
                <w:rFonts w:ascii="Tahoma" w:hAnsi="Tahoma" w:cs="Tahoma"/>
                <w:noProof/>
                <w:szCs w:val="18"/>
                <w:lang w:val="cs-CZ"/>
              </w:rPr>
            </w:pPr>
          </w:p>
        </w:tc>
      </w:tr>
      <w:tr w:rsidR="009E46E6" w:rsidRPr="00820FD5" w:rsidTr="00EB4BD0">
        <w:trPr>
          <w:trHeight w:val="570"/>
        </w:trPr>
        <w:tc>
          <w:tcPr>
            <w:tcW w:w="4361" w:type="dxa"/>
          </w:tcPr>
          <w:p w:rsidR="009E46E6" w:rsidRPr="00820FD5" w:rsidRDefault="00EB4BD0" w:rsidP="009E46E6">
            <w:pPr>
              <w:spacing w:line="276" w:lineRule="auto"/>
              <w:jc w:val="both"/>
              <w:rPr>
                <w:rFonts w:ascii="Tahoma" w:hAnsi="Tahoma" w:cs="Tahoma"/>
                <w:noProof/>
                <w:szCs w:val="18"/>
                <w:lang w:val="cs-CZ"/>
              </w:rPr>
            </w:pPr>
            <w:r w:rsidRPr="00820FD5">
              <w:rPr>
                <w:rFonts w:ascii="Tahoma" w:hAnsi="Tahoma" w:cs="Tahoma"/>
                <w:szCs w:val="18"/>
                <w:lang w:val="en-US"/>
              </w:rPr>
              <w:t>Signature</w:t>
            </w:r>
            <w:r w:rsidR="009E46E6" w:rsidRPr="00820FD5">
              <w:rPr>
                <w:rFonts w:ascii="Tahoma" w:hAnsi="Tahoma" w:cs="Tahoma"/>
                <w:noProof/>
                <w:szCs w:val="18"/>
                <w:lang w:val="cs-CZ"/>
              </w:rPr>
              <w:t>:</w:t>
            </w:r>
          </w:p>
          <w:p w:rsidR="000D144B" w:rsidRPr="00820FD5" w:rsidRDefault="000D144B" w:rsidP="009E46E6">
            <w:pPr>
              <w:spacing w:line="276" w:lineRule="auto"/>
              <w:jc w:val="both"/>
              <w:rPr>
                <w:rFonts w:ascii="Tahoma" w:hAnsi="Tahoma" w:cs="Tahoma"/>
                <w:noProof/>
                <w:szCs w:val="18"/>
                <w:lang w:val="cs-CZ"/>
              </w:rPr>
            </w:pPr>
          </w:p>
        </w:tc>
        <w:tc>
          <w:tcPr>
            <w:tcW w:w="5967" w:type="dxa"/>
          </w:tcPr>
          <w:p w:rsidR="009E46E6" w:rsidRPr="00820FD5" w:rsidRDefault="009E46E6" w:rsidP="009E46E6">
            <w:pPr>
              <w:spacing w:line="276" w:lineRule="auto"/>
              <w:jc w:val="both"/>
              <w:rPr>
                <w:rFonts w:ascii="Tahoma" w:hAnsi="Tahoma" w:cs="Tahoma"/>
                <w:noProof/>
                <w:szCs w:val="18"/>
                <w:lang w:val="cs-CZ"/>
              </w:rPr>
            </w:pPr>
          </w:p>
        </w:tc>
      </w:tr>
    </w:tbl>
    <w:p w:rsidR="00630B56" w:rsidRPr="00820FD5" w:rsidRDefault="00630B56" w:rsidP="000D144B">
      <w:pPr>
        <w:spacing w:line="276" w:lineRule="auto"/>
        <w:jc w:val="both"/>
        <w:rPr>
          <w:rFonts w:ascii="Tahoma" w:hAnsi="Tahoma" w:cs="Tahoma"/>
          <w:noProof/>
          <w:sz w:val="20"/>
          <w:szCs w:val="18"/>
          <w:lang w:val="cs-CZ"/>
        </w:rPr>
      </w:pPr>
    </w:p>
    <w:sectPr w:rsidR="00630B56" w:rsidRPr="00820FD5" w:rsidSect="000D144B">
      <w:headerReference w:type="default" r:id="rId7"/>
      <w:footerReference w:type="default" r:id="rId8"/>
      <w:pgSz w:w="12240" w:h="15840"/>
      <w:pgMar w:top="1440" w:right="1041"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58" w:rsidRDefault="00F64B58" w:rsidP="00516BB5">
      <w:r>
        <w:separator/>
      </w:r>
    </w:p>
  </w:endnote>
  <w:endnote w:type="continuationSeparator" w:id="0">
    <w:p w:rsidR="00F64B58" w:rsidRDefault="00F64B58" w:rsidP="00516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58" w:rsidRPr="00EB4BD0" w:rsidRDefault="00F64B58" w:rsidP="00EB4BD0">
    <w:pPr>
      <w:jc w:val="both"/>
      <w:rPr>
        <w:rFonts w:ascii="Tahoma" w:hAnsi="Tahoma" w:cs="Tahoma"/>
        <w:sz w:val="14"/>
        <w:szCs w:val="18"/>
        <w:lang w:val="en-US"/>
      </w:rPr>
    </w:pPr>
    <w:r w:rsidRPr="00EB4BD0">
      <w:rPr>
        <w:rFonts w:ascii="Tahoma" w:hAnsi="Tahoma" w:cs="Tahoma"/>
        <w:sz w:val="14"/>
        <w:szCs w:val="18"/>
        <w:lang w:val="en-US"/>
      </w:rPr>
      <w:t>(1)For any ,,thing of value,, should be understood, so not limited to, money, gifts, personal favors, meals, entertainment, activities, discounts on products and / or services that are not readily available to the public, jobs for government officials or their relatives, political contributions, payments to third parties, payment of travel expenses, assume or forgive debt, etc.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58" w:rsidRDefault="00F64B58" w:rsidP="00516BB5">
      <w:r>
        <w:separator/>
      </w:r>
    </w:p>
  </w:footnote>
  <w:footnote w:type="continuationSeparator" w:id="0">
    <w:p w:rsidR="00F64B58" w:rsidRDefault="00F64B58" w:rsidP="00516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58" w:rsidRDefault="00F64B58" w:rsidP="0011518C">
    <w:pPr>
      <w:pStyle w:val="Zhlav"/>
    </w:pPr>
    <w:r>
      <w:rPr>
        <w:noProof/>
        <w:lang w:val="en-US"/>
      </w:rPr>
      <w:drawing>
        <wp:inline distT="0" distB="0" distL="0" distR="0">
          <wp:extent cx="1181735" cy="362585"/>
          <wp:effectExtent l="19050" t="0" r="0" b="0"/>
          <wp:docPr id="2" name="obrázek 1" descr="CEME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EMEX_high"/>
                  <pic:cNvPicPr>
                    <a:picLocks noChangeAspect="1" noChangeArrowheads="1"/>
                  </pic:cNvPicPr>
                </pic:nvPicPr>
                <pic:blipFill>
                  <a:blip r:embed="rId1"/>
                  <a:srcRect/>
                  <a:stretch>
                    <a:fillRect/>
                  </a:stretch>
                </pic:blipFill>
                <pic:spPr bwMode="auto">
                  <a:xfrm>
                    <a:off x="0" y="0"/>
                    <a:ext cx="1181735" cy="362585"/>
                  </a:xfrm>
                  <a:prstGeom prst="rect">
                    <a:avLst/>
                  </a:prstGeom>
                  <a:noFill/>
                  <a:ln w="9525">
                    <a:noFill/>
                    <a:miter lim="800000"/>
                    <a:headEnd/>
                    <a:tailEnd/>
                  </a:ln>
                </pic:spPr>
              </pic:pic>
            </a:graphicData>
          </a:graphic>
        </wp:inline>
      </w:drawing>
    </w:r>
    <w:r w:rsidRPr="00E904E9">
      <w:rPr>
        <w:rFonts w:ascii="Helvetica" w:hAnsi="Helvetica" w:cs="Arial"/>
        <w:noProof/>
        <w:lang w:val="en-GB" w:bidi="en-GB"/>
      </w:rPr>
      <w:t xml:space="preserve"> </w:t>
    </w:r>
  </w:p>
  <w:p w:rsidR="00F64B58" w:rsidRPr="0011518C" w:rsidRDefault="00F64B58" w:rsidP="0011518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E74A0D"/>
    <w:rsid w:val="00000B07"/>
    <w:rsid w:val="00001879"/>
    <w:rsid w:val="00040D4E"/>
    <w:rsid w:val="00086F1C"/>
    <w:rsid w:val="000A72E1"/>
    <w:rsid w:val="000B41FC"/>
    <w:rsid w:val="000D144B"/>
    <w:rsid w:val="000F4230"/>
    <w:rsid w:val="0011518C"/>
    <w:rsid w:val="00140886"/>
    <w:rsid w:val="0014565D"/>
    <w:rsid w:val="001800E8"/>
    <w:rsid w:val="001C4797"/>
    <w:rsid w:val="00200957"/>
    <w:rsid w:val="00233754"/>
    <w:rsid w:val="002475F0"/>
    <w:rsid w:val="002512B3"/>
    <w:rsid w:val="00263536"/>
    <w:rsid w:val="0028356D"/>
    <w:rsid w:val="002B56CD"/>
    <w:rsid w:val="002B76EB"/>
    <w:rsid w:val="002C1528"/>
    <w:rsid w:val="002D0268"/>
    <w:rsid w:val="002D2615"/>
    <w:rsid w:val="002E4E12"/>
    <w:rsid w:val="00311369"/>
    <w:rsid w:val="00315DB8"/>
    <w:rsid w:val="00340B3F"/>
    <w:rsid w:val="003C0541"/>
    <w:rsid w:val="003D560F"/>
    <w:rsid w:val="003E3D21"/>
    <w:rsid w:val="003F187A"/>
    <w:rsid w:val="00401E9E"/>
    <w:rsid w:val="0041226F"/>
    <w:rsid w:val="00425DD2"/>
    <w:rsid w:val="00426B61"/>
    <w:rsid w:val="00441DA3"/>
    <w:rsid w:val="00452C10"/>
    <w:rsid w:val="00466945"/>
    <w:rsid w:val="00480117"/>
    <w:rsid w:val="00482B69"/>
    <w:rsid w:val="00485222"/>
    <w:rsid w:val="004B608E"/>
    <w:rsid w:val="004C511D"/>
    <w:rsid w:val="00516BB5"/>
    <w:rsid w:val="0053118E"/>
    <w:rsid w:val="00542C33"/>
    <w:rsid w:val="005566A8"/>
    <w:rsid w:val="00572622"/>
    <w:rsid w:val="005850D1"/>
    <w:rsid w:val="00587BC1"/>
    <w:rsid w:val="005D0558"/>
    <w:rsid w:val="005E0A6B"/>
    <w:rsid w:val="005E1842"/>
    <w:rsid w:val="00603212"/>
    <w:rsid w:val="006079DC"/>
    <w:rsid w:val="00610201"/>
    <w:rsid w:val="00613F94"/>
    <w:rsid w:val="00630B56"/>
    <w:rsid w:val="006A1703"/>
    <w:rsid w:val="006C0F58"/>
    <w:rsid w:val="006C2E47"/>
    <w:rsid w:val="006D7203"/>
    <w:rsid w:val="006E0A7D"/>
    <w:rsid w:val="006F001B"/>
    <w:rsid w:val="006F67B6"/>
    <w:rsid w:val="00703F35"/>
    <w:rsid w:val="007212F5"/>
    <w:rsid w:val="007224B9"/>
    <w:rsid w:val="00754911"/>
    <w:rsid w:val="00774728"/>
    <w:rsid w:val="007A6FC0"/>
    <w:rsid w:val="007B07D7"/>
    <w:rsid w:val="007B3929"/>
    <w:rsid w:val="008054EB"/>
    <w:rsid w:val="00820FD5"/>
    <w:rsid w:val="00836A01"/>
    <w:rsid w:val="008564A1"/>
    <w:rsid w:val="00857C50"/>
    <w:rsid w:val="00882275"/>
    <w:rsid w:val="008942A0"/>
    <w:rsid w:val="008C5F57"/>
    <w:rsid w:val="008D7428"/>
    <w:rsid w:val="009107FD"/>
    <w:rsid w:val="00922C0E"/>
    <w:rsid w:val="0096412D"/>
    <w:rsid w:val="00981B9D"/>
    <w:rsid w:val="00982AFD"/>
    <w:rsid w:val="009A3222"/>
    <w:rsid w:val="009C455C"/>
    <w:rsid w:val="009C5F45"/>
    <w:rsid w:val="009E46E6"/>
    <w:rsid w:val="009F3DDA"/>
    <w:rsid w:val="00A15A90"/>
    <w:rsid w:val="00A40024"/>
    <w:rsid w:val="00A57680"/>
    <w:rsid w:val="00A94B9F"/>
    <w:rsid w:val="00AA2DEF"/>
    <w:rsid w:val="00AC5E8B"/>
    <w:rsid w:val="00AE0ED5"/>
    <w:rsid w:val="00AF5DBC"/>
    <w:rsid w:val="00B07BD6"/>
    <w:rsid w:val="00B431B3"/>
    <w:rsid w:val="00B56E48"/>
    <w:rsid w:val="00B711FD"/>
    <w:rsid w:val="00B90EC4"/>
    <w:rsid w:val="00C01555"/>
    <w:rsid w:val="00C3382C"/>
    <w:rsid w:val="00C60513"/>
    <w:rsid w:val="00C8043F"/>
    <w:rsid w:val="00C85D36"/>
    <w:rsid w:val="00C86F54"/>
    <w:rsid w:val="00CB7C02"/>
    <w:rsid w:val="00CF3492"/>
    <w:rsid w:val="00CF3A9F"/>
    <w:rsid w:val="00D14D13"/>
    <w:rsid w:val="00D344EC"/>
    <w:rsid w:val="00D50E73"/>
    <w:rsid w:val="00D656AD"/>
    <w:rsid w:val="00D67772"/>
    <w:rsid w:val="00D82CB3"/>
    <w:rsid w:val="00D85DFD"/>
    <w:rsid w:val="00D877DB"/>
    <w:rsid w:val="00D912CD"/>
    <w:rsid w:val="00DD5C73"/>
    <w:rsid w:val="00E24B4E"/>
    <w:rsid w:val="00E61B96"/>
    <w:rsid w:val="00E74A0D"/>
    <w:rsid w:val="00EB4BD0"/>
    <w:rsid w:val="00ED16E2"/>
    <w:rsid w:val="00F64B58"/>
    <w:rsid w:val="00F674ED"/>
    <w:rsid w:val="00F87822"/>
    <w:rsid w:val="00FB6926"/>
    <w:rsid w:val="00FF243D"/>
    <w:rsid w:val="00FF51EA"/>
    <w:rsid w:val="00FF6BC6"/>
    <w:rsid w:val="00FF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A0D"/>
    <w:pPr>
      <w:spacing w:after="0" w:line="240" w:lineRule="auto"/>
    </w:pPr>
    <w:rPr>
      <w:rFonts w:ascii="Times New Roman" w:eastAsia="Times New Roman" w:hAnsi="Times New Roman" w:cs="Times New Roman"/>
      <w:sz w:val="24"/>
      <w:szCs w:val="24"/>
      <w:lang w:val="es-MX"/>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4A0D"/>
    <w:rPr>
      <w:rFonts w:ascii="Tahoma" w:eastAsiaTheme="minorHAnsi" w:hAnsi="Tahoma" w:cs="Tahoma"/>
      <w:sz w:val="16"/>
      <w:szCs w:val="16"/>
      <w:lang w:val="en-US"/>
    </w:rPr>
  </w:style>
  <w:style w:type="character" w:customStyle="1" w:styleId="TextbublinyChar">
    <w:name w:val="Text bubliny Char"/>
    <w:basedOn w:val="Standardnpsmoodstavce"/>
    <w:link w:val="Textbubliny"/>
    <w:uiPriority w:val="99"/>
    <w:semiHidden/>
    <w:rsid w:val="00E74A0D"/>
    <w:rPr>
      <w:rFonts w:ascii="Tahoma" w:hAnsi="Tahoma" w:cs="Tahoma"/>
      <w:sz w:val="16"/>
      <w:szCs w:val="16"/>
    </w:rPr>
  </w:style>
  <w:style w:type="paragraph" w:styleId="Textpoznpodarou">
    <w:name w:val="footnote text"/>
    <w:basedOn w:val="Normln"/>
    <w:link w:val="TextpoznpodarouChar"/>
    <w:uiPriority w:val="99"/>
    <w:semiHidden/>
    <w:unhideWhenUsed/>
    <w:rsid w:val="00516BB5"/>
    <w:rPr>
      <w:sz w:val="20"/>
      <w:szCs w:val="20"/>
    </w:rPr>
  </w:style>
  <w:style w:type="character" w:customStyle="1" w:styleId="TextpoznpodarouChar">
    <w:name w:val="Text pozn. pod čarou Char"/>
    <w:basedOn w:val="Standardnpsmoodstavce"/>
    <w:link w:val="Textpoznpodarou"/>
    <w:uiPriority w:val="99"/>
    <w:semiHidden/>
    <w:rsid w:val="00516BB5"/>
    <w:rPr>
      <w:rFonts w:ascii="Times New Roman" w:eastAsia="Times New Roman" w:hAnsi="Times New Roman" w:cs="Times New Roman"/>
      <w:sz w:val="20"/>
      <w:szCs w:val="20"/>
      <w:lang w:val="es-MX"/>
    </w:rPr>
  </w:style>
  <w:style w:type="character" w:styleId="Znakapoznpodarou">
    <w:name w:val="footnote reference"/>
    <w:basedOn w:val="Standardnpsmoodstavce"/>
    <w:uiPriority w:val="99"/>
    <w:semiHidden/>
    <w:unhideWhenUsed/>
    <w:rsid w:val="00516BB5"/>
    <w:rPr>
      <w:vertAlign w:val="superscript"/>
    </w:rPr>
  </w:style>
  <w:style w:type="paragraph" w:styleId="Zhlav">
    <w:name w:val="header"/>
    <w:basedOn w:val="Normln"/>
    <w:link w:val="ZhlavChar"/>
    <w:unhideWhenUsed/>
    <w:rsid w:val="0011518C"/>
    <w:pPr>
      <w:tabs>
        <w:tab w:val="center" w:pos="4703"/>
        <w:tab w:val="right" w:pos="9406"/>
      </w:tabs>
    </w:pPr>
  </w:style>
  <w:style w:type="character" w:customStyle="1" w:styleId="ZhlavChar">
    <w:name w:val="Záhlaví Char"/>
    <w:basedOn w:val="Standardnpsmoodstavce"/>
    <w:link w:val="Zhlav"/>
    <w:uiPriority w:val="99"/>
    <w:semiHidden/>
    <w:rsid w:val="0011518C"/>
    <w:rPr>
      <w:rFonts w:ascii="Times New Roman" w:eastAsia="Times New Roman" w:hAnsi="Times New Roman" w:cs="Times New Roman"/>
      <w:sz w:val="24"/>
      <w:szCs w:val="24"/>
      <w:lang w:val="es-MX"/>
    </w:rPr>
  </w:style>
  <w:style w:type="paragraph" w:styleId="Zpat">
    <w:name w:val="footer"/>
    <w:basedOn w:val="Normln"/>
    <w:link w:val="ZpatChar"/>
    <w:uiPriority w:val="99"/>
    <w:semiHidden/>
    <w:unhideWhenUsed/>
    <w:rsid w:val="0011518C"/>
    <w:pPr>
      <w:tabs>
        <w:tab w:val="center" w:pos="4703"/>
        <w:tab w:val="right" w:pos="9406"/>
      </w:tabs>
    </w:pPr>
  </w:style>
  <w:style w:type="character" w:customStyle="1" w:styleId="ZpatChar">
    <w:name w:val="Zápatí Char"/>
    <w:basedOn w:val="Standardnpsmoodstavce"/>
    <w:link w:val="Zpat"/>
    <w:uiPriority w:val="99"/>
    <w:semiHidden/>
    <w:rsid w:val="0011518C"/>
    <w:rPr>
      <w:rFonts w:ascii="Times New Roman" w:eastAsia="Times New Roman" w:hAnsi="Times New Roman" w:cs="Times New Roman"/>
      <w:sz w:val="24"/>
      <w:szCs w:val="24"/>
      <w:lang w:val="es-MX"/>
    </w:rPr>
  </w:style>
  <w:style w:type="paragraph" w:styleId="Odstavecseseznamem">
    <w:name w:val="List Paragraph"/>
    <w:basedOn w:val="Normln"/>
    <w:uiPriority w:val="34"/>
    <w:qFormat/>
    <w:rsid w:val="0011518C"/>
    <w:pPr>
      <w:ind w:left="720"/>
      <w:contextualSpacing/>
    </w:pPr>
  </w:style>
  <w:style w:type="table" w:styleId="Mkatabulky">
    <w:name w:val="Table Grid"/>
    <w:basedOn w:val="Normlntabulka"/>
    <w:uiPriority w:val="59"/>
    <w:rsid w:val="009E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A0D"/>
    <w:pPr>
      <w:spacing w:after="0" w:line="240" w:lineRule="auto"/>
    </w:pPr>
    <w:rPr>
      <w:rFonts w:ascii="Times New Roman" w:eastAsia="Times New Roman" w:hAnsi="Times New Roman" w:cs="Times New Roman"/>
      <w:sz w:val="24"/>
      <w:szCs w:val="24"/>
      <w:lang w:val="es-MX"/>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4A0D"/>
    <w:rPr>
      <w:rFonts w:ascii="Tahoma" w:eastAsiaTheme="minorHAnsi" w:hAnsi="Tahoma" w:cs="Tahoma"/>
      <w:sz w:val="16"/>
      <w:szCs w:val="16"/>
      <w:lang w:val="en-US"/>
    </w:rPr>
  </w:style>
  <w:style w:type="character" w:customStyle="1" w:styleId="TextbublinyChar">
    <w:name w:val="Text bubliny Char"/>
    <w:basedOn w:val="Standardnpsmoodstavce"/>
    <w:link w:val="Textbubliny"/>
    <w:uiPriority w:val="99"/>
    <w:semiHidden/>
    <w:rsid w:val="00E74A0D"/>
    <w:rPr>
      <w:rFonts w:ascii="Tahoma" w:hAnsi="Tahoma" w:cs="Tahoma"/>
      <w:sz w:val="16"/>
      <w:szCs w:val="16"/>
    </w:rPr>
  </w:style>
  <w:style w:type="paragraph" w:styleId="Textpoznpodarou">
    <w:name w:val="footnote text"/>
    <w:basedOn w:val="Normln"/>
    <w:link w:val="TextpoznpodarouChar"/>
    <w:uiPriority w:val="99"/>
    <w:semiHidden/>
    <w:unhideWhenUsed/>
    <w:rsid w:val="00516BB5"/>
    <w:rPr>
      <w:sz w:val="20"/>
      <w:szCs w:val="20"/>
    </w:rPr>
  </w:style>
  <w:style w:type="character" w:customStyle="1" w:styleId="TextpoznpodarouChar">
    <w:name w:val="Text pozn. pod čarou Char"/>
    <w:basedOn w:val="Standardnpsmoodstavce"/>
    <w:link w:val="Textpoznpodarou"/>
    <w:uiPriority w:val="99"/>
    <w:semiHidden/>
    <w:rsid w:val="00516BB5"/>
    <w:rPr>
      <w:rFonts w:ascii="Times New Roman" w:eastAsia="Times New Roman" w:hAnsi="Times New Roman" w:cs="Times New Roman"/>
      <w:sz w:val="20"/>
      <w:szCs w:val="20"/>
      <w:lang w:val="es-MX"/>
    </w:rPr>
  </w:style>
  <w:style w:type="character" w:styleId="Znakapoznpodarou">
    <w:name w:val="footnote reference"/>
    <w:basedOn w:val="Standardnpsmoodstavce"/>
    <w:uiPriority w:val="99"/>
    <w:semiHidden/>
    <w:unhideWhenUsed/>
    <w:rsid w:val="00516B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0A01-FB9B-4789-96C1-4BA3D044EB3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123744</vt:lpwstr>
  </property>
  <property fmtid="{D5CDD505-2E9C-101B-9397-08002B2CF9AE}" pid="4" name="OptimizationTime">
    <vt:lpwstr>20170830_1634</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CEMEX</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CEMEX User</cp:lastModifiedBy>
  <cp:revision>5</cp:revision>
  <cp:lastPrinted>2015-09-25T05:40:00Z</cp:lastPrinted>
  <dcterms:created xsi:type="dcterms:W3CDTF">2017-08-29T12:59:00Z</dcterms:created>
  <dcterms:modified xsi:type="dcterms:W3CDTF">2017-08-30T14:17:00Z</dcterms:modified>
</cp:coreProperties>
</file>